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F70C22" w:rsidP="00F70C22">
      <w:pPr>
        <w:spacing w:line="240" w:lineRule="auto"/>
        <w:contextualSpacing w:val="0"/>
        <w:jc w:val="right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F70C22">
          <w:headerReference w:type="default" r:id="rId8"/>
          <w:footerReference w:type="default" r:id="rId9"/>
          <w:pgSz w:w="11906" w:h="16838"/>
          <w:pgMar w:top="873" w:right="1274" w:bottom="0" w:left="873" w:header="510" w:footer="1701" w:gutter="0"/>
          <w:pgNumType w:start="1"/>
          <w:cols w:space="720"/>
          <w:docGrid w:linePitch="299"/>
        </w:sectPr>
      </w:pPr>
      <w:r>
        <w:rPr>
          <w:rFonts w:asciiTheme="majorHAnsi" w:eastAsia="Times New Roman" w:hAnsiTheme="majorHAnsi" w:cs="Times New Roman"/>
          <w:spacing w:val="5"/>
          <w:lang w:val="pl-PL" w:bidi="en-US"/>
        </w:rPr>
        <w:t>Załącznik nr 3</w:t>
      </w:r>
      <w:r w:rsidR="007D3835">
        <w:rPr>
          <w:rFonts w:asciiTheme="majorHAnsi" w:eastAsia="Times New Roman" w:hAnsiTheme="majorHAnsi" w:cs="Times New Roman"/>
          <w:spacing w:val="5"/>
          <w:lang w:val="pl-PL" w:bidi="en-US"/>
        </w:rPr>
        <w:t xml:space="preserve"> do oferty</w:t>
      </w:r>
    </w:p>
    <w:p w:rsidR="00F70C22" w:rsidRDefault="00F70C22" w:rsidP="0005404B">
      <w:pPr>
        <w:spacing w:line="240" w:lineRule="auto"/>
        <w:contextualSpacing w:val="0"/>
        <w:jc w:val="center"/>
        <w:rPr>
          <w:rFonts w:ascii="Calibri" w:eastAsia="Times New Roman" w:hAnsi="Calibri" w:cs="Times New Roman"/>
          <w:lang w:val="pl-PL" w:eastAsia="pl-PL"/>
        </w:rPr>
      </w:pPr>
    </w:p>
    <w:p w:rsidR="00F70C22" w:rsidRDefault="00F70C22" w:rsidP="0005404B">
      <w:pPr>
        <w:spacing w:line="240" w:lineRule="auto"/>
        <w:contextualSpacing w:val="0"/>
        <w:jc w:val="center"/>
        <w:rPr>
          <w:rFonts w:ascii="Calibri" w:eastAsia="Times New Roman" w:hAnsi="Calibri" w:cs="Times New Roman"/>
          <w:lang w:val="pl-PL" w:eastAsia="pl-PL"/>
        </w:rPr>
      </w:pPr>
    </w:p>
    <w:p w:rsidR="0005404B" w:rsidRPr="0005404B" w:rsidRDefault="0005404B" w:rsidP="0005404B">
      <w:pPr>
        <w:spacing w:line="240" w:lineRule="auto"/>
        <w:contextualSpacing w:val="0"/>
        <w:jc w:val="center"/>
        <w:rPr>
          <w:rFonts w:ascii="Calibri" w:eastAsia="Times New Roman" w:hAnsi="Calibri" w:cs="Times New Roman"/>
          <w:lang w:val="pl-PL" w:eastAsia="pl-PL"/>
        </w:rPr>
      </w:pPr>
      <w:r w:rsidRPr="0005404B">
        <w:rPr>
          <w:rFonts w:ascii="Calibri" w:eastAsia="Times New Roman" w:hAnsi="Calibri" w:cs="Times New Roman"/>
          <w:lang w:val="pl-PL" w:eastAsia="pl-PL"/>
        </w:rPr>
        <w:t>Oferowany przedmiot zamówienia</w:t>
      </w:r>
    </w:p>
    <w:p w:rsidR="0005404B" w:rsidRPr="0005404B" w:rsidRDefault="0005404B" w:rsidP="0005404B">
      <w:pPr>
        <w:spacing w:line="240" w:lineRule="auto"/>
        <w:contextualSpacing w:val="0"/>
        <w:jc w:val="center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05404B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2 szt. - serwer w obudowie </w:t>
      </w:r>
      <w:proofErr w:type="spellStart"/>
      <w:r w:rsidRPr="0005404B">
        <w:rPr>
          <w:rFonts w:ascii="Calibri" w:eastAsia="Times New Roman" w:hAnsi="Calibri" w:cs="Times New Roman"/>
          <w:sz w:val="20"/>
          <w:szCs w:val="20"/>
          <w:lang w:val="pl-PL" w:eastAsia="pl-PL"/>
        </w:rPr>
        <w:t>rack</w:t>
      </w:r>
      <w:proofErr w:type="spellEnd"/>
      <w:r w:rsidRPr="0005404B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2U, każde urządzenie spełniające minimalne wymagania jak poniżej:</w:t>
      </w: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1942"/>
        <w:gridCol w:w="3685"/>
        <w:gridCol w:w="3685"/>
      </w:tblGrid>
      <w:tr w:rsidR="0005404B" w:rsidRPr="0005404B" w:rsidTr="00B7226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Element konfiguracji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Wymagania minimalne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Parametry oferowane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Producent:………………………………………………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Model………………………………………………………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nr katalogowy ………………………………………….</w:t>
            </w: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rack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bez wyłączania urządzenia)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Procesor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pl-PL" w:eastAsia="pl-PL"/>
              </w:rPr>
              <w:t>Dwa</w:t>
            </w: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procesory dwunasto</w:t>
            </w:r>
            <w:r w:rsidRPr="0005404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pl-PL" w:eastAsia="pl-PL"/>
              </w:rPr>
              <w:t xml:space="preserve">rdzeniowe o częstotliwości min 2,3GHz </w:t>
            </w: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, x86 - 64 bity, osiągające w teście SPECint_rate_base2006 dla oferowanego serwera w konfiguracji z dwoma oferowanymi procesorami wynik nie gorszy niż 1210 punktów. W przypadku zaoferowania procesora równoważnego, wynik testu musi być opublikowany na stronie www.spec.org.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Płyta główna  wspierająca zastosowanie procesorów od 4 do 28 rdzeniowych, mocy do min. 205W i taktowaniu CPU do min. 3.6GHz.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Pamięć operacyjna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128 GB RDIMM DDR4 2666 MT/s w modułach o pojemności 32GB każdy.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Płyta główna z minimum 24 slotami na pamięć i umożliwiająca instalację do minimum 3TB. 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Obsługa zabezpieczeń: Advanced ECC i Online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Spare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Serwer z obsługą pamięci typu NVDIMM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Sloty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rozszerzeń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6 aktywnych gniazda PCI-Express generacji 3 gotowe do obsadzenia kartami sieciowymi, w tym min. 2 slot x16 (szybkość slotu –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bus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width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 pełnej wysokości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full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height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). 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Możliwość rozbudowy o dwa dodatkowe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sloty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PCI-Express generacji 3.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lastRenderedPageBreak/>
              <w:t>Dysk twardy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Zatoki dyskowe gotowe do zainstalowania 8 dysków SFF typu Hot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Swap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, SAS/SATA/SSD, 2,5” i opcja rozbudowy/rekonfiguracji serwera o dodatkowe 16 dysków typu Hot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Swap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, SAS/SATA/SSD, 2,5” montowane z przodu obudowy oraz możliwość zainstalowania 6 dysków SFF SAS/SATA/SSD, 2,5” z tyłu serwera.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Zainstalowane: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- dwa dyski SSD o pojemności 480GB SSD SATA do intensywnego odczytu SFF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- sześć dysków HDD o pojemności 900GB SAS 15K  SFF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 przypadku braku opcji rozbudowy/rekonfiguracji o dodatkowe zatoki dyskowe, serwer standardowo wyposażony w minimum 30 zatok dyskowych SFF gotowych do instalacji dysków SAS/SATA/SSD 2,5”typu Hot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Swap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Serwer umożliwiający instalację pamięci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flash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w postaci kart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microSD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/SD zapewniających minimalną pojemność 8GB i redundancję danych RAID-1. Zastosowane rozwiązanie musi posiadać gwarancję producenta serwera.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Kontroler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Serwer wyposażony w kontroler sprzętowy z min. 2GB cache z mechanizmem podtrzymywania zawartości pamięci cache w razie braku zasilania, zapewniający obsługę 8 napędów dyskowych SAS oraz obsługujący poziomy: RAID 0/1/10/5/50/6/60.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Serwer umożliwiający rozbudowę o sprzętowy kontroler RAID zapewniający obsługę RAID 0/1/10/5/50/6/60 z 4GB pamięci cache z podtrzymywaniem bateryjnym.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Kontroler umożliwiający pracę z dyskami w trybach RAID i JBOD jednocześnie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Interfejsy sieciowe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Minimum 4 wbudowane porty Ethernet 100/1000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Mb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/s RJ-45 z funkcją Wake-On-LAN, wsparciem dla PXE, które nie zajmują gniazd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PCIe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opisanych w sekcji „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Sloty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rozszerzeń”.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Opcja rozbudowy o dodatkowe 2 porty obsługujące prędkości 10/40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Gb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/s (możliwość konfiguracji pracy z prędkościami 10 i 40Gb/s), przez zastosowanie karty nie zajmującej gniazd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PCIe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opisanych w sekcji „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Sloty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rozszerzeń”.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Karta graficzna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Zintegrowana karta graficzna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lastRenderedPageBreak/>
              <w:t>Porty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5 x USB 3.0 (w tym 2 porty wewnętrzne) – wszystkie gniazda muszą być wbudowane nie dopuszcza się portów uzyskanych przez dołożenie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hubów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, rozdzielaczy, adapterów kart itp.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1x VGA 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Wewnętrzny slot na kartę micro SD.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Możliwość rozbudowy o: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- dodatkowy port typu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DisplayPort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dostępny z przodu serwera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- port szeregowy typu DB9/DE-9 (9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pinowy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), wyprowadzony na zewnątrz obudowy bez pośrednictwa portu USB/RJ45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Zasilacz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sv-SE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sv-SE" w:eastAsia="pl-PL"/>
              </w:rPr>
              <w:t>2 szt., typu Hot-plug, redundantne, każdy o mocy minimum 800W.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sv-SE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Chłodzenie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Zestaw wentylatorów redundantnych typu hot-plug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Napęd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Możliwość instalacji wewnętrznego napędu DVD-ROM lub DVD-RW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Diagnostyka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Elektroniczny panel diagnostyczny dostępny z przodu serwera pozwalający uzyskać informacje o stanie: procesora, pamięci, wentylatorów, kary sieciowej, zasilaczy, kartach rozszerzeń, temperaturze.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Karta/moduł zarządzający</w:t>
            </w:r>
          </w:p>
        </w:tc>
        <w:tc>
          <w:tcPr>
            <w:tcW w:w="3685" w:type="dxa"/>
            <w:vAlign w:val="center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Niezależna od system operacyjnego, zintegrowana z płytą główną serwera lub jako dodatkowa karta w slocie PCI Express, jednak nie może ona powodować zmniejszenia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mininmalnej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liczby gniazd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PCIe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w serwerze, posiadająca minimalną funkcjonalność: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wparcie dla agentów zarządzających oraz możliwość pracy w trybie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bezagentowym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– bez agentów zarządzania instalowanych w systemie operacyjnym z generowaniem alertów SNMP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dostęp do karty zarządzającej poprzez 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dedykowany port RJ45 z tyłu serwera lub 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lastRenderedPageBreak/>
              <w:t xml:space="preserve">przez współdzielony port zintegrowanej karty sieciowej serwera  </w:t>
            </w:r>
          </w:p>
          <w:p w:rsidR="0005404B" w:rsidRPr="0005404B" w:rsidRDefault="0005404B" w:rsidP="0005404B">
            <w:pPr>
              <w:spacing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     dostęp do karty możliwy 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 poziomu przeglądarki webowej (GUI)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poziomu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linii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komend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zgodnie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z DMTF System Management Architecture for Server Hardware, Server Management Command Line Protocol (SM CLP)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 poziomu skryptu (XML/Perl)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poprzez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interfejs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IPMI 2.0 (Intelligent Platform Management Interface)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wbudowane narzędzia diagnostyczne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zdalna konfiguracji serwera(BIOS) i instalacji systemu operacyjnego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obsługa mechanizmu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remote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support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przesyłanie alertów poprzez SNMP (SNMP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passthrough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obsługa zdalnego serwera logowania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remote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syslog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wirtualna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zadalna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konsola, z dostępem do myszy i klawiatury 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mechanizm przechwytywania, nagrywania i odtwarzania sekwencji video dla ostatniej awarii  i ostatniego startu serwera a także nagrywanie na żądanie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funkcja zdalnej konsoli szeregowej -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Textcons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przez SSH (wirtualny port szeregowy) z funkcją nagrywania i odtwarzania sekwencji zdarzeń i aktywności 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monitorowanie zasilania oraz zużycia energii przez serwer w czasie rzeczywistym z </w:t>
            </w: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lastRenderedPageBreak/>
              <w:t>możliwością graficznej prezentacji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konfiguracja maksymalnego poziomu pobieranej mocy przez serwer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capping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) 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zdalna aktualizacja oprogramowania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firmware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zarządzanie grupami serwerów, w tym: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tworzenie i konfiguracja grup serwerów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sterowanie zasilaniem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wł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/wył) 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ograniczenie poboru mocy dla grupy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power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caping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aktualizacja oprogramowania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firmware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</w:p>
          <w:p w:rsidR="0005404B" w:rsidRPr="0005404B" w:rsidRDefault="0005404B" w:rsidP="0005404B">
            <w:pPr>
              <w:numPr>
                <w:ilvl w:val="1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wspólne wirtualne media dla grupy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możliwość równoczesnej obsługi przez 6 administratorów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autentykacja dwuskładnikowa (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Kerberos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wsparcie dla Microsoft Active Directory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obsługa SSL i SSH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enkrypcja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AES/3DES oraz RC4 dla zdalnej konsoli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wsparcie dla IPv4 oraz iPv6, obsługa SNMP v3 oraz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RESTful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API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wsparcie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dla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 xml:space="preserve"> Integrated Remote Console for Windows clients</w:t>
            </w:r>
          </w:p>
          <w:p w:rsidR="0005404B" w:rsidRPr="0005404B" w:rsidRDefault="0005404B" w:rsidP="0005404B">
            <w:pPr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możliwość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autokonfiguracji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sieci karty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zarządzającejj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(DNS/DHCP)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lastRenderedPageBreak/>
              <w:t xml:space="preserve">Wsparcie dla systemów operacyjnych i systemów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wirtualizacyjnych</w:t>
            </w:r>
            <w:proofErr w:type="spellEnd"/>
          </w:p>
        </w:tc>
        <w:tc>
          <w:tcPr>
            <w:tcW w:w="3685" w:type="dxa"/>
            <w:vAlign w:val="center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Microsoft Windows Server 2012 R2, 2016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Red Hat Enterprise Linux (RHEL) 6.9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7.3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SUSE Linux Enterprise Server (SLES) 11 SP4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12 SP2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ClearOS</w:t>
            </w:r>
            <w:proofErr w:type="spellEnd"/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GB" w:eastAsia="pl-PL"/>
              </w:rPr>
              <w:t>CentOS</w:t>
            </w:r>
            <w:proofErr w:type="spellEnd"/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VMware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ESXi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6.0 U3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VMware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ESXi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6.5 oraz U1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Wsparcie techniczne</w:t>
            </w:r>
          </w:p>
        </w:tc>
        <w:tc>
          <w:tcPr>
            <w:tcW w:w="3685" w:type="dxa"/>
            <w:vAlign w:val="center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5-letnia gwarancja producenta w miejscu instalacji.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Czas reakcji w miejscu instalacji to kolejny dzień roboczy. Wsparcie techniczne realizowane jest przez serwis producenta oferowanego serwera.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Inne</w:t>
            </w:r>
          </w:p>
        </w:tc>
        <w:tc>
          <w:tcPr>
            <w:tcW w:w="3685" w:type="dxa"/>
            <w:vAlign w:val="center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Urządzenia muszą być zakupione w oficjalnym kanale dystrybucyjnym producenta. Serwer musi być wyprodukowany w oferowanej </w:t>
            </w: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lastRenderedPageBreak/>
              <w:t>konfiguracji przez producenta, zabronione są zmiany konfiguracyjne przez oferenta. Wykonawca musi załączyć do oferty oświadczenie producenta oferowanego serwera, potwierdzające pochodzenie urządzenia z oficjalnego kanału dystrybucyjnego producenta oraz o sprawowaniu gwarancji zgodnie z WZ.</w:t>
            </w:r>
          </w:p>
        </w:tc>
        <w:tc>
          <w:tcPr>
            <w:tcW w:w="3685" w:type="dxa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05404B">
        <w:rPr>
          <w:rFonts w:ascii="Calibri" w:eastAsia="Times New Roman" w:hAnsi="Calibri" w:cs="Times New Roman"/>
          <w:sz w:val="20"/>
          <w:szCs w:val="20"/>
          <w:lang w:val="pl-PL" w:eastAsia="pl-PL"/>
        </w:rPr>
        <w:t>Oprogramowanie w licencji MS OLP:</w:t>
      </w:r>
    </w:p>
    <w:tbl>
      <w:tblPr>
        <w:tblW w:w="9313" w:type="dxa"/>
        <w:tblInd w:w="38" w:type="dxa"/>
        <w:tblLook w:val="01E0" w:firstRow="1" w:lastRow="1" w:firstColumn="1" w:lastColumn="1" w:noHBand="0" w:noVBand="0"/>
      </w:tblPr>
      <w:tblGrid>
        <w:gridCol w:w="2500"/>
        <w:gridCol w:w="6813"/>
      </w:tblGrid>
      <w:tr w:rsidR="0005404B" w:rsidRPr="0005404B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Nazwa</w:t>
            </w:r>
          </w:p>
        </w:tc>
      </w:tr>
      <w:tr w:rsidR="0005404B" w:rsidRPr="0005404B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SQLSvrStd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2017 SNGL OLP NL</w:t>
            </w:r>
          </w:p>
        </w:tc>
      </w:tr>
      <w:tr w:rsidR="0005404B" w:rsidRPr="007D3835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SQLCAL 2017 SNGL OLP NL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UsrCAL</w:t>
            </w:r>
            <w:proofErr w:type="spellEnd"/>
          </w:p>
        </w:tc>
      </w:tr>
      <w:tr w:rsidR="0005404B" w:rsidRPr="007D3835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WinRmtDsktpSrvcsCAL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2019 SNGL OLP NL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DvcCAL</w:t>
            </w:r>
            <w:proofErr w:type="spellEnd"/>
          </w:p>
        </w:tc>
      </w:tr>
      <w:tr w:rsidR="0005404B" w:rsidRPr="007D3835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WinSvrSTDCore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2019 SNGL OLP 2Lic NL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CoreLic</w:t>
            </w:r>
            <w:proofErr w:type="spellEnd"/>
          </w:p>
        </w:tc>
      </w:tr>
      <w:tr w:rsidR="0005404B" w:rsidRPr="007D3835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150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WinSvrCAL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2019 SNGL OLP NL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DvcCAL</w:t>
            </w:r>
            <w:proofErr w:type="spellEnd"/>
          </w:p>
        </w:tc>
      </w:tr>
    </w:tbl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en-US" w:eastAsia="pl-PL"/>
        </w:rPr>
      </w:pP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05404B">
        <w:rPr>
          <w:rFonts w:ascii="Calibri" w:eastAsia="Times New Roman" w:hAnsi="Calibri" w:cs="Times New Roman"/>
          <w:sz w:val="20"/>
          <w:szCs w:val="20"/>
          <w:lang w:val="en-US" w:eastAsia="pl-PL"/>
        </w:rPr>
        <w:t>Oprogramowanie</w:t>
      </w:r>
      <w:proofErr w:type="spellEnd"/>
      <w:r w:rsidRPr="0005404B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do </w:t>
      </w:r>
      <w:proofErr w:type="spellStart"/>
      <w:r w:rsidRPr="0005404B">
        <w:rPr>
          <w:rFonts w:ascii="Calibri" w:eastAsia="Times New Roman" w:hAnsi="Calibri" w:cs="Times New Roman"/>
          <w:sz w:val="20"/>
          <w:szCs w:val="20"/>
          <w:lang w:val="en-US" w:eastAsia="pl-PL"/>
        </w:rPr>
        <w:t>backupu</w:t>
      </w:r>
      <w:proofErr w:type="spellEnd"/>
      <w:r w:rsidRPr="0005404B">
        <w:rPr>
          <w:rFonts w:ascii="Calibri" w:eastAsia="Times New Roman" w:hAnsi="Calibri" w:cs="Times New Roman"/>
          <w:sz w:val="20"/>
          <w:szCs w:val="20"/>
          <w:lang w:val="en-US" w:eastAsia="pl-PL"/>
        </w:rPr>
        <w:t>:</w:t>
      </w:r>
    </w:p>
    <w:tbl>
      <w:tblPr>
        <w:tblW w:w="9313" w:type="dxa"/>
        <w:tblInd w:w="38" w:type="dxa"/>
        <w:tblLook w:val="01E0" w:firstRow="1" w:lastRow="1" w:firstColumn="1" w:lastColumn="1" w:noHBand="0" w:noVBand="0"/>
      </w:tblPr>
      <w:tblGrid>
        <w:gridCol w:w="2500"/>
        <w:gridCol w:w="3127"/>
        <w:gridCol w:w="3686"/>
      </w:tblGrid>
      <w:tr w:rsidR="0005404B" w:rsidRPr="0005404B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Producent:………………………………………………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Model………………………………………………………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nr katalogowy ………………………………………….</w:t>
            </w:r>
          </w:p>
        </w:tc>
      </w:tr>
      <w:tr w:rsidR="0005404B" w:rsidRPr="0005404B" w:rsidTr="00B7226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Virtual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ShadowProtect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SPX Serwer Windows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Licencje bezterminowe z rocznym serwisem  - lub inne oprogramowanie spełniające wszystkie funkcje i posiadające co najmniej takie możliwości jak wcześniej wymieniony.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05404B">
        <w:rPr>
          <w:rFonts w:ascii="Calibri" w:eastAsia="Times New Roman" w:hAnsi="Calibri" w:cs="Times New Roman"/>
          <w:sz w:val="20"/>
          <w:szCs w:val="20"/>
          <w:lang w:val="pl-PL" w:eastAsia="pl-PL"/>
        </w:rPr>
        <w:t>2 szt. zasilacz awaryjny, każde urządzenie spełniające minimalne wymagania jak poniżej:</w:t>
      </w: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72"/>
        <w:gridCol w:w="2979"/>
        <w:gridCol w:w="3569"/>
      </w:tblGrid>
      <w:tr w:rsidR="0005404B" w:rsidRPr="0005404B" w:rsidTr="00B72267">
        <w:tc>
          <w:tcPr>
            <w:tcW w:w="1344" w:type="pct"/>
            <w:shd w:val="clear" w:color="auto" w:fill="auto"/>
            <w:vAlign w:val="center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BatangChe" w:hAnsi="Calibri" w:cs="Times New Roman"/>
                <w:sz w:val="20"/>
                <w:szCs w:val="20"/>
                <w:lang w:val="pl-PL" w:eastAsia="pl-PL"/>
              </w:rPr>
              <w:t>Parametr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5404B" w:rsidRPr="0005404B" w:rsidRDefault="0005404B" w:rsidP="0005404B">
            <w:pPr>
              <w:spacing w:line="240" w:lineRule="auto"/>
              <w:ind w:left="-71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Wymogi minimalne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ind w:left="-71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72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Producent:………………………………………………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Model………………………………………………………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nr katalogowy ………………………………………….</w:t>
            </w: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Moc wyjściowa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1.98 KW / 2.2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kVA</w:t>
            </w:r>
            <w:proofErr w:type="spellEnd"/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Napięcie wyjściowe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230V Możliwość konfiguracji znamionowego napięcia wyjściowego 220 : Znamionowe napięcie wyjściowe 230 lub 240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Częstotliwość na wyjściu (zsynchronizowana z siecią zasilającą)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50/60Hz +/- 3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Hz</w:t>
            </w:r>
            <w:proofErr w:type="spellEnd"/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Topologia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Line Interactive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Typ przebiegu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en-GB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sinusoida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Złącza wyjściowe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8 x IEC 320 C13 (Zasilanie zapasowe)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3 x IEC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Jumpers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(Zasilanie zapasowe)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1 x IEC 320 C19 (Zasilanie zapasowe)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lastRenderedPageBreak/>
              <w:t>Czas przełączania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4ms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typical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: 8ms maximum</w:t>
            </w:r>
          </w:p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Nominalne napięcie wejściowe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230V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Częstotliwość wejściowa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50/60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Hz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+/-3 </w:t>
            </w: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Hz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(automatyczne wykrywanie)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BatangChe" w:hAnsi="Calibri" w:cs="Times New Roman"/>
                <w:bCs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Zakres napięcia wejściowego w trybie podstawowym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BatangChe" w:hAnsi="Calibri" w:cs="Times New Roman"/>
                <w:sz w:val="20"/>
                <w:szCs w:val="20"/>
                <w:lang w:val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160 - 286V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Zmienny zakres napięcia wejściowego w trybie podstawowym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151 - 302V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Typ akumulatora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Bezobsługowy szczelny akumulator kwasowo-ołowiowy z elektrolitem w postaci żelu szczelny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Typowy czas ładowania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3 godziny</w:t>
            </w:r>
          </w:p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Alarm dźwiękowy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Alarm przy zasilaniu akumulatora: alarm przy bardzo niskim poziomie naładowania akumulatora: konfigurowalne opóźnienia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 w:eastAsia="pl-PL"/>
              </w:rPr>
              <w:t>Klasa energetyczna sprzętu przeciwprzepięciowego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375Dżule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Gwarancja 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3 lata, baterie – 2 lata.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Zarządzanie 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Interfejs USB, Wyświetlacz statusu LED ze wskaźnikiem pracy online: Zasilanie akumulatorowe: Wskaźniki Wymień baterię i Przeciążenie, Wielofunkcyjna konsola sterownicza i informacyjna LCD, możliwość dołożenia karty sieciowej lub sieciowo-środowiskowej.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05404B" w:rsidRPr="0005404B" w:rsidTr="00B72267">
        <w:tc>
          <w:tcPr>
            <w:tcW w:w="134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1684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proofErr w:type="spellStart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Rack</w:t>
            </w:r>
            <w:proofErr w:type="spellEnd"/>
            <w:r w:rsidRPr="0005404B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2U ze wszystkimi elementami do montażu w szafie (szyny itp.)</w:t>
            </w:r>
          </w:p>
        </w:tc>
        <w:tc>
          <w:tcPr>
            <w:tcW w:w="1972" w:type="pct"/>
          </w:tcPr>
          <w:p w:rsidR="0005404B" w:rsidRPr="0005404B" w:rsidRDefault="0005404B" w:rsidP="0005404B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05404B" w:rsidRPr="0005404B" w:rsidRDefault="0005404B" w:rsidP="0005404B">
      <w:pPr>
        <w:spacing w:line="240" w:lineRule="auto"/>
        <w:contextualSpacing w:val="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05404B" w:rsidRPr="0005404B" w:rsidRDefault="0005404B" w:rsidP="0005404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C4AB9" w:rsidRPr="005C4AB9" w:rsidRDefault="005C4AB9" w:rsidP="0005404B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lang w:val="pl-PL" w:eastAsia="pl-PL" w:bidi="en-US"/>
        </w:rPr>
      </w:pPr>
    </w:p>
    <w:sectPr w:rsidR="005C4AB9" w:rsidRPr="005C4AB9" w:rsidSect="00634D6B">
      <w:headerReference w:type="default" r:id="rId10"/>
      <w:footerReference w:type="default" r:id="rId11"/>
      <w:type w:val="continuous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CF" w:rsidRDefault="00DE53CF" w:rsidP="00EC5B61">
      <w:pPr>
        <w:spacing w:line="240" w:lineRule="auto"/>
      </w:pPr>
      <w:r>
        <w:separator/>
      </w:r>
    </w:p>
  </w:endnote>
  <w:endnote w:type="continuationSeparator" w:id="0">
    <w:p w:rsidR="00DE53CF" w:rsidRDefault="00DE53CF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CF" w:rsidRDefault="00DE53CF" w:rsidP="00EC5B61">
      <w:pPr>
        <w:spacing w:line="240" w:lineRule="auto"/>
      </w:pPr>
      <w:r>
        <w:separator/>
      </w:r>
    </w:p>
  </w:footnote>
  <w:footnote w:type="continuationSeparator" w:id="0">
    <w:p w:rsidR="00DE53CF" w:rsidRDefault="00DE53CF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8622E"/>
    <w:multiLevelType w:val="hybridMultilevel"/>
    <w:tmpl w:val="7A8233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53BA"/>
    <w:rsid w:val="000128D5"/>
    <w:rsid w:val="00041098"/>
    <w:rsid w:val="0005404B"/>
    <w:rsid w:val="00090B2D"/>
    <w:rsid w:val="000C26FB"/>
    <w:rsid w:val="000C3728"/>
    <w:rsid w:val="001E01DC"/>
    <w:rsid w:val="00213B7F"/>
    <w:rsid w:val="00234571"/>
    <w:rsid w:val="002E469E"/>
    <w:rsid w:val="00317E3F"/>
    <w:rsid w:val="00332BFA"/>
    <w:rsid w:val="003376C3"/>
    <w:rsid w:val="00420C5E"/>
    <w:rsid w:val="00437346"/>
    <w:rsid w:val="00443C01"/>
    <w:rsid w:val="00451DAC"/>
    <w:rsid w:val="00464C19"/>
    <w:rsid w:val="00466227"/>
    <w:rsid w:val="00484181"/>
    <w:rsid w:val="004A17C9"/>
    <w:rsid w:val="004F488C"/>
    <w:rsid w:val="00510DA8"/>
    <w:rsid w:val="00514BFC"/>
    <w:rsid w:val="005205EB"/>
    <w:rsid w:val="00554E15"/>
    <w:rsid w:val="005C4AB9"/>
    <w:rsid w:val="00634D6B"/>
    <w:rsid w:val="006B7907"/>
    <w:rsid w:val="00723D38"/>
    <w:rsid w:val="00783093"/>
    <w:rsid w:val="007A7D81"/>
    <w:rsid w:val="007D3835"/>
    <w:rsid w:val="00804E98"/>
    <w:rsid w:val="00825AC9"/>
    <w:rsid w:val="00836C3F"/>
    <w:rsid w:val="00850FB0"/>
    <w:rsid w:val="00875340"/>
    <w:rsid w:val="009A5A6A"/>
    <w:rsid w:val="00AC4B1A"/>
    <w:rsid w:val="00AC682C"/>
    <w:rsid w:val="00B1712B"/>
    <w:rsid w:val="00B321F7"/>
    <w:rsid w:val="00B34432"/>
    <w:rsid w:val="00B46B04"/>
    <w:rsid w:val="00B5056B"/>
    <w:rsid w:val="00B52682"/>
    <w:rsid w:val="00B56F5D"/>
    <w:rsid w:val="00BE5041"/>
    <w:rsid w:val="00C252AF"/>
    <w:rsid w:val="00CA6A0B"/>
    <w:rsid w:val="00CB050F"/>
    <w:rsid w:val="00CD52AA"/>
    <w:rsid w:val="00CF7469"/>
    <w:rsid w:val="00D12920"/>
    <w:rsid w:val="00D610A3"/>
    <w:rsid w:val="00D931C9"/>
    <w:rsid w:val="00DC5E07"/>
    <w:rsid w:val="00DE53CF"/>
    <w:rsid w:val="00EC5B61"/>
    <w:rsid w:val="00EC601C"/>
    <w:rsid w:val="00F17CF7"/>
    <w:rsid w:val="00F70C22"/>
    <w:rsid w:val="00FA51E5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70E1-E254-48F6-9B84-BC641623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Sołtys</dc:creator>
  <cp:lastModifiedBy>Piotr_Pawlik</cp:lastModifiedBy>
  <cp:revision>4</cp:revision>
  <cp:lastPrinted>2019-03-04T12:38:00Z</cp:lastPrinted>
  <dcterms:created xsi:type="dcterms:W3CDTF">2019-03-05T10:14:00Z</dcterms:created>
  <dcterms:modified xsi:type="dcterms:W3CDTF">2019-03-06T10:28:00Z</dcterms:modified>
</cp:coreProperties>
</file>